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GLAC</w:t>
      </w:r>
    </w:p>
    <w:p>
      <w:r>
        <w:t>https://www.nps.gov/glac/planyourvisit/images/bcbanner.jpg</w:t>
      </w:r>
    </w:p>
    <w:p>
      <w:r>
        <w:drawing>
          <wp:inline xmlns:a="http://schemas.openxmlformats.org/drawingml/2006/main" xmlns:pic="http://schemas.openxmlformats.org/drawingml/2006/picture">
            <wp:extent cx="15240000" cy="889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89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ZION</w:t>
      </w:r>
    </w:p>
    <w:p>
      <w:r>
        <w:t>https://www.nps.gov/zion/planyourvisit/images/Subway.jpeg</w:t>
      </w:r>
    </w:p>
    <w:p>
      <w:r>
        <w:drawing>
          <wp:inline xmlns:a="http://schemas.openxmlformats.org/drawingml/2006/main" xmlns:pic="http://schemas.openxmlformats.org/drawingml/2006/picture">
            <wp:extent cx="58521600" cy="3291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0" cy="32918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